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C78B" w14:textId="77777777" w:rsidR="007561EF" w:rsidRPr="0081140A" w:rsidRDefault="007561EF" w:rsidP="007561EF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  <w:t>GDPR. Pravidla zpracování osobních údajů</w:t>
      </w:r>
    </w:p>
    <w:p w14:paraId="1B12F451" w14:textId="77777777" w:rsidR="007561EF" w:rsidRPr="0081140A" w:rsidRDefault="007561EF" w:rsidP="007561E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GDPR. Sbor Církve bratrské v Neratovicích, IČ: 73633704 Sídlo: Na Výsluní 1305, 27711 Neratovice Tento dokument definuje pravidla Sboru Církve bratrské v Neratovicích (dále jen „Sboru“ nebo CB Neratovice“) coby „Správce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údajů“pro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zpracování osobních údajů fyzických osob coby „Subjektů údajů“, se kterými přijde Sbor do styku v rámci své činnosti, dále jen „Pravidla“.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</w: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Preambule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GDPR. Tato Pravidla jsou vyhotovena s cílem zajistit co nejlepší možnou implementaci Nařízení Evropského parlamentu a Rady (EU) 2016/679 ze dne 27. dubna 2016, o ochraně fyzických osob v souvislosti se zpracováním osobních údajů a o volném pohybu těchto údajů – General data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protection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regulation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, dále jen jako „GDPR“, které nabývá účinnosti 25. 5. 2018.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Sbor v těchto Pravidlech vymezuje především, s jakými kategoriemi subjektů údajů pracuje, jaké osobní údaje o nich zpracovává, za jakým účelem a na jak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dlouhoa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stanovuje zásady zpracování osobních údajů. Pravidla také obsahují katalog práv fyzických osob v souvislosti se zpracováním jejich osobních údajů a popisují způsob jejich výkonu.</w:t>
      </w:r>
    </w:p>
    <w:p w14:paraId="41339294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Kategorie subjektů údajů Sboru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Osobními údaji jsou veškeré informace o identifikované nebo identifikovatelné fyzické osobě („subjekt údajů“), kterými jsou vzhledem ke Sboru, především: • členové Sboru • dárci • uživatelé služeb (účastníci akcí/aktivit pořádaných Sborem; svatby; křty) • dodavatelé služeb, externí spolupracovníci…</w:t>
      </w:r>
    </w:p>
    <w:p w14:paraId="728B18B8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Evidence osobních údajů a kategorie osobních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Sbor používá jako klíčový nástroj evidence osobních údajů svých členů: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a) Knihu členů –„matriku“ (dle pokynů Řádu správy Církve bratské, paragraf 37)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Seznam členů: • Identifikační údaje: jméno, příjmení, datum narození • Údaje vztahující se k náboženství/vyznání: datum křtu vč. denominace; datum a důvod vzniku/zániku členství v Církvi bratrské • Demografické údaje: rodinný stav, jméno a příjmení manžela/manželky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Seznam nezletilých dětí členů • Identifikační údaje: jméno, příjmení, datum narození • Údaje vztahující se k náboženství/vyznání: datum křtu vč. denominace; příp. datum požehnání dítěte • Datum vzniku a zániku evidence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Seznam svatebních bohoslužeb • Identifikační údaje: jméno, příjmení snoubenců, svědků, oddávajícího • Datum a místo sňatku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Seznam křtů • Identifikační údaje: jméno, příjmení, datum narození křtěného; jméno a příjmení křtícího • Datum křtu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b) Adresář sboru (evidence kontaktních údajů poskytovaných se souhlasem členů a přátel Sboru, v rozsahu daném souhlasem člena či přítele Sboru). • Identifikační údaje: jméno, příjmení • Kontaktní údaje: Adresa, telefon, email, sociální média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c) Evidence dárců • Identifikační údaje: jméno, příjmení, datum narození, 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lastRenderedPageBreak/>
        <w:t>adresa • Kontaktní údaje: číslo účtu, email (pro zaslání potvrzení o darech)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Sbor zpracovává Zvláštní osobní údaje (o náboženském vyznání), a to v souladu s GDPR, kap II. Čl. 9 coby organizace sledující náboženské cíle v rámci svých oprávněných činností. Zpracovává přitom údaje o současných či bývalých členech a o osobách, s nimiž udržuje pravidelné styky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vsouvislosti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s cíli Sboru, aniž by údaje bez souhlasu subjektu zpřístupňoval mimo Sbor. Sbor neuchovává genetické a biometrické osobní údaje.</w:t>
      </w:r>
    </w:p>
    <w:p w14:paraId="5D404CB1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„</w:t>
      </w: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Správce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“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Sbor coby správce údajů určuje účely a prostředky zpracování osobních údajů. Jeho úkolem je: • zavádět organizační a technická opatření pro zajištění zpracování osobních údajů v souladu s GDPR, přezkoumávat je a dle potřeby aktualizovat; • spolupracovat na požádání s dozorovým úřadem; • ohlašovat dozorovému úřadu porušení zabezpečení osobních údajů (pokud možno do 72 hodin od okamžiku, kdy se o nich dověděl); • oznamovat bez zbytečného odkladu případy porušení zabezpečení osobních údajů subjektu údajů, pokud existuje vysoké riziko pro práva a svobody subjektu údajů.</w:t>
      </w:r>
    </w:p>
    <w:p w14:paraId="06CB1A44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Externí zpracovatelé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Je-li nezbytné využít při zpracování osobních údajů služeb externího zpracovatele, uzavře Sbor s externím zpracovatelem smlouvu o zpracování osobních údajů. Smlouva specifikuje činnost zpracovatele pro Sbor a obsahuje náležitosti podle čl. 28 GDPR.</w:t>
      </w:r>
    </w:p>
    <w:p w14:paraId="38BB4EC3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Způsob a rozsah zpracování osobních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Způsob a rozsah zpracování osobních údajů je pro různé případy zpracování, k nimž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vrámci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činnosti Sboru standardně dochází, vymezen v Přehledu zpracování osobních údajů zveřejněném na www.cb.cz/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neratovice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/.</w:t>
      </w:r>
    </w:p>
    <w:p w14:paraId="04C96131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Zásady zpracování osobních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Sbor zpracovává osobní údaje v souladu s těmito zásadami: •Zákonnost, korektnost a transparentnost: Sbor zpracovává osobní údaje na základě legitimního opodstatnění (právního titulu), přičemž subjekt údajů je srozumitelně informován o jejich zpracování. • Účelové omezení: Sbor stanovuje legitimní účel zpracování a nesmí zpracovávat údaje za jiným účelem. • Minimalizace údajů: Sbor zpracovává údaje pouze v nezbytném rozsahu vzhledem k účelu; po vyprchání účelu pro zpracování údajů údaje vymazává, příp. anonymizuje (pro účely statistik či reportů). • Přesnost: Sbor aktualizuje údaje a na žádost subjektu údajů provádí opravy. • Omezení uložení: Sbor ukládá údaje pouze na dobu nezbytnou pro účel zpracování. • Integrita a důvěrnost: Sbor organizačními i technickými opatřeními zabezpečuje osobní údaje proti různým formám narušení (neoprávněný přístup, odcizení, ztráta, poškození nebo zničení…) • Odpovědnost: Sbor odpovídá za dodržování výše uvedených zásad a soulad s nimi může doložit.</w:t>
      </w:r>
    </w:p>
    <w:p w14:paraId="3CA239D1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Právní základ pro zpracování osobních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Aby bylo zpracování osobních údajů zákonné, musí vždy vycházet z nějakého právního titulu/základu: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lastRenderedPageBreak/>
        <w:t>a) Zpracování je nezbytné pro • plnění smlouvy (např. s uživatelem služby apod…) • plnění právní povinnosti • pro účely oprávněných zájmů Správce (př. zveřejnění fotek vedení na webu Sboru) • pro ochranu životně důležitých zájmů subjektu údajů nebo jiné fyzické osoby • pro splnění úkolu prováděného ve veřejném zájmu nebo při výkonu veřejné moci; Ke zpracování osobních údajů z výše uvedených důvodů není zapotřebí souhlas subjektu údajů.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b) Subjekt údajů udělil SOUHLAS se zpracováním osobních údajů pro jeden či více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konkrétních účelů. Konkrétní účel je vždy jasně vymezen v rámci uděleného souhlasu a údaje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mohou být zpracovány jen po dobu platnosti tohoto souhlasu.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Souhlas musí být: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svobodný (např. nesmí jím být podmíněno plnění smlouvy, vč. poskytnutí služby)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doložitelný (písemný, př. zaškrtávací políčko)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odvolatelný: Subjekt údajů může souhlas kdykoli odvolat a o právu na odvolání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souhlasu musí být informován. Odvolání je zapotřebí učinit výslovným, srozumitelným a určitým projevem vůle.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Souhlas se zpracováním osobních údajů dítěte mladšího 16let musí být vyjádřen nebo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schválen osobou, která vykonává rodičovskou zodpovědnost k dítěti.</w:t>
      </w:r>
    </w:p>
    <w:p w14:paraId="3690D66D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Organizační a bezpečnostní opatření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a) Obecná pravidla přístupu k osobním údajům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Přístup k dokumentům obsahujícím osobní údaje je omezen pouze na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pracovníky, kteří s nimi musejí nezbytně pracovat pro plnění svých pracovních úkolů.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Za obsahovou správnost, kompletnost a následné uložení dat v počítačové evidenci a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ochranu dat podléhajících ochraně osobních údajů v okamžiku pořízení či změny zodpovídá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pracovník, který data pořídil či změnil.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Pracovníci přistupují k dokumentům v elektronické podobě na základě přihlášení se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K uživatelskému účtu zabezpečeném silným heslem.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b) Fyzická bezpečnost osobních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Pracovníci Sboru dbají na základní pravidla bezpečnosti, dokumenty ukládají do určených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zamykatelných skříní. Externí osoby nesmějí být ponechány v prostorách pracoviště, kde jsou uloženy dotčené dokumenty, bez dozoru pracovníka.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Při odchodu z pracoviště je pracovník povinen zajistit, aby k jeho uživatelskému účtu nemohla přistoupit třetí osoba.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c) Uchovávání fyzických dokumentů obsahujících osobní údaje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lastRenderedPageBreak/>
        <w:t>• Fyzické dokumenty obsahující osobní údaje jsou uchovávány v kancelářích, které jsou využívány pracovníky provádějícími danou činnost zpracování, nebo v jiných k tomu určených prostorách.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• Veškeré fyzické dokumenty obsahující osobní údaje jsou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vdobě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, kdy nejsou přímo využívány, uloženy v uzamykatelných skříních. Výjimku tvoří případ, pokud kancelář užívá pouze jeden pracovník, který ji při svém odchodu zamyká.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d) Bezpečnost informačních systémů a zálohování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Provozní počítačová data pracovníků kanceláře Sboru jsou ukládána v zabezpečeném počítači, ke kterému má přístup pouze odpovědný pracovník sboru.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Pracovníci jsou povinni užívat aktualizovaný antivirový program.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e) Používání notebooků, tabletů, chytrých telefonů a přenos osobních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Jsou-li ke zpracování osobních údajů využívány notebooky, tablety nebo chytré telefony, je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povinností pracovníka opatřit tyto přístroje bezpečným heslem.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• Datové soubory (zpravidla formátu Word, Excel, PDF apod.) obsahující osobní údaje musí být zabezpečeny heslem (resp. šifrovány). Jedná-li se o uchování osobních údajů mimo zašifrované soubory (např. v kontaktech mobilního telefonu apod.), musí být v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nitřní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úložiště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tabletů a chytrých telefonů, které je využíváno k uchovávání osobních údajů, zašifrováno.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Pokud pracovníci využívají ke zpracování osobních údajů přístroj v jejich soukromém vlastnictví, jsou povinni zajistit na těchto zařízeních stejnou míru ochrany osobních údajů, jaká je aplikována na počítačích ve vlastnictví Sboru.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V případě, že data či soubory obsahující osobní údaje jsou zasílány elektronicky (např.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 xml:space="preserve">mailem apod.), nebo jsou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-li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pro uchovávání či přenos osobních údajů využívány datové nosiče (cd, 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flash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disky apod.), je vzájemná komunikace šifrována, příp. data (resp.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soubory formátu Word, Excel, PDF apod.) jsou opatřeny heslem, nebo formou zaheslovaného archivu formátu .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rar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 xml:space="preserve"> nebo .zip.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f) Nakládání s dokumenty po skončení jejich užívání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Je-li ukončena činnost zpracování, pro kterou byly osobní údaje zpracovávány, a nejsou-li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osobní údaje zpracovávány pro jiný účel ve smyslu čl. 6 odst. 4 GDPR, uchovávají se dokumenty obsahující osobní údaje po dobu trvání lhůt k archivaci stanovených pravidly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Sboru nebo příslušnými právními předpisy.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Dokumenty uchovávané v elektronické podobě jsou vymazávány tak, aby nemohlo možné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jejich obnovení.</w:t>
      </w:r>
    </w:p>
    <w:p w14:paraId="6D7EE2B8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lastRenderedPageBreak/>
        <w:t>Práva subjektů údajů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Ve smyslu GDRP má každý subjekt údajů v případě, že bude pro Sbor identifikovatelnou osobou a prokáže Sboru svoji totožnost, níže uvedená práva: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Požadovat přístup / výpis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Požadovat opravu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Požadovat výmaz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Požadovat omezení zpracování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Požadovat výpis v přenositelném formátu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Podat námitku proti zpracování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Podat námitku proti automatizovanému rozhodování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Podat stížnost na dozorový úřad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• Odvolat souhlas se zpracováním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Upřesňující popis práv subjektu, včetně pokynů ke způsobu výkonu práv a formuláře k podání žádosti o uplatnění práv, jsou k dispozici na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www.cb.cz/</w:t>
      </w:r>
      <w:proofErr w:type="spellStart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neratovice</w:t>
      </w:r>
      <w:proofErr w:type="spellEnd"/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t>/.</w:t>
      </w:r>
    </w:p>
    <w:p w14:paraId="37CCA5DB" w14:textId="77777777" w:rsidR="007561EF" w:rsidRPr="0081140A" w:rsidRDefault="007561EF" w:rsidP="0075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1140A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Závěrečná ustanovení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Odpovědnou osobou za plnění této směrnice je správce Sboru.</w:t>
      </w:r>
      <w:r w:rsidRPr="0081140A">
        <w:rPr>
          <w:rFonts w:ascii="Segoe UI" w:eastAsia="Times New Roman" w:hAnsi="Segoe UI" w:cs="Segoe UI"/>
          <w:sz w:val="24"/>
          <w:szCs w:val="24"/>
          <w:lang w:eastAsia="cs-CZ"/>
        </w:rPr>
        <w:br/>
        <w:t>Změny a doplňky této směrnice jsou možné pouze po schválení staršovstvem Sboru. Touto směrnicí nejsou nijak dotčena ani nahrazena ustanovení obecně závazných právních předpisů.</w:t>
      </w:r>
    </w:p>
    <w:p w14:paraId="59916C1E" w14:textId="77777777" w:rsidR="0034732A" w:rsidRPr="0081140A" w:rsidRDefault="0034732A">
      <w:pPr>
        <w:rPr>
          <w:rFonts w:ascii="Segoe UI" w:hAnsi="Segoe UI" w:cs="Segoe UI"/>
        </w:rPr>
      </w:pPr>
    </w:p>
    <w:sectPr w:rsidR="0034732A" w:rsidRPr="0081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710D"/>
    <w:multiLevelType w:val="multilevel"/>
    <w:tmpl w:val="825A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73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EF"/>
    <w:rsid w:val="0034732A"/>
    <w:rsid w:val="007561EF"/>
    <w:rsid w:val="008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30D"/>
  <w15:chartTrackingRefBased/>
  <w15:docId w15:val="{223EDAFC-87D5-48F7-A1BA-1DE88ED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61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1575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 David</dc:creator>
  <cp:keywords/>
  <dc:description/>
  <cp:lastModifiedBy>Grohman David</cp:lastModifiedBy>
  <cp:revision>2</cp:revision>
  <dcterms:created xsi:type="dcterms:W3CDTF">2022-07-06T15:01:00Z</dcterms:created>
  <dcterms:modified xsi:type="dcterms:W3CDTF">2022-07-06T15:01:00Z</dcterms:modified>
</cp:coreProperties>
</file>